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-2610/2026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35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 Ю.А.,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24.05.1961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привлеченный по ч. 3 ст. 19.24 КоАП РФ по вступившему в законную силу 04.04.2026 года постановлению, является лицом, в отношении которого установлен административный надзор решениями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 и имеющий ограничения в виде запрета пребывания вне жилого помещения или иного помещения, являющегося местом жительства, пребывания или фактического нахождения в период с 21:00 до 06:00 каждых суток. При постановке на учет, под роспись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разъяснено, что нахождение вне жилого помещения, являющегося его местом жительства в период с 21:00 до 06:00 каждых суток запрещено, также ему были разъяснены права и обязанности, однако, Черемисов Ю.А.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 в 2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отсутствовал по месту жительства по адресу: </w:t>
      </w:r>
      <w:r>
        <w:rPr>
          <w:rStyle w:val="cat-UserDefinedgrp-35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чем нарушил ограничение, установленное судом при отсутствии признаков преступлений, предусмотренных ч. 1 ст. 314.1, ч. 2 ст. 314.1 УК РФ, тем самым совершил административное правонарушение, ответственность за которое предусмотрена ч. 3 ст. 19.24 КоАП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4237</w:t>
      </w:r>
      <w:r>
        <w:rPr>
          <w:rFonts w:ascii="Times New Roman" w:eastAsia="Times New Roman" w:hAnsi="Times New Roman" w:cs="Times New Roman"/>
          <w:sz w:val="27"/>
          <w:szCs w:val="27"/>
        </w:rPr>
        <w:t>54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УУП ОП-1 УМВД России по </w:t>
      </w:r>
      <w:r>
        <w:rPr>
          <w:rStyle w:val="cat-UserDefinedgrp-37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копиями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года; копией вступившего в законную силу 04.04.2026 года постановления мирового судьи судебного участка № 4 </w:t>
      </w:r>
      <w:r>
        <w:rPr>
          <w:rStyle w:val="cat-UserDefinedgrp-38rplc-4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24.03.2026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бланка о разъяснении прав и обязанностей;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от 18.06.2024 года;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Российской Федерации от 18.06.2024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графика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прибытия поднадзорного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лица на регистрацию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02.06.2025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регистрационного листа поднадзорного лица; </w:t>
      </w:r>
      <w:r>
        <w:rPr>
          <w:rFonts w:ascii="Times New Roman" w:eastAsia="Times New Roman" w:hAnsi="Times New Roman" w:cs="Times New Roman"/>
          <w:sz w:val="27"/>
          <w:szCs w:val="27"/>
        </w:rPr>
        <w:t>актом посещения поднадзорного лица по месту жительст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ва или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пребывания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свидетеля от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лицо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учетам СООП;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другими материалами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Его действия суд квалифицирует по ч. 3 ст. 19.24 КоАП РФ – повторное в течение одного года совершение административного правонарушения, предусмотренного частью 1 названной статьи, если эти действия (бездействие) не содержат уголовно наказуемого деяния. Обстоятельств,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вины. К обстоятельствам, отягчающим административную ответственность, суд относит повторное совершение однородного административного правонарушения. 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не относящегося к кругу лиц, указанных в ст. 3.9 КоАП РФ,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3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ему административное наказание в виде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инистративного ареста на срок </w:t>
      </w:r>
      <w:r>
        <w:rPr>
          <w:rStyle w:val="cat-UserDefinedgrp-39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административного наказания исчислять с момента фактического задержания, т.е. с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>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grp-36rplc-22">
    <w:name w:val="cat-UserDefined grp-36 rplc-22"/>
    <w:basedOn w:val="DefaultParagraphFont"/>
  </w:style>
  <w:style w:type="character" w:customStyle="1" w:styleId="cat-UserDefinedgrp-35rplc-35">
    <w:name w:val="cat-UserDefined grp-35 rplc-35"/>
    <w:basedOn w:val="DefaultParagraphFont"/>
  </w:style>
  <w:style w:type="character" w:customStyle="1" w:styleId="cat-UserDefinedgrp-37rplc-40">
    <w:name w:val="cat-UserDefined grp-37 rplc-40"/>
    <w:basedOn w:val="DefaultParagraphFont"/>
  </w:style>
  <w:style w:type="character" w:customStyle="1" w:styleId="cat-UserDefinedgrp-36rplc-43">
    <w:name w:val="cat-UserDefined grp-36 rplc-43"/>
    <w:basedOn w:val="DefaultParagraphFont"/>
  </w:style>
  <w:style w:type="character" w:customStyle="1" w:styleId="cat-UserDefinedgrp-38rplc-48">
    <w:name w:val="cat-UserDefined grp-38 rplc-48"/>
    <w:basedOn w:val="DefaultParagraphFont"/>
  </w:style>
  <w:style w:type="character" w:customStyle="1" w:styleId="cat-UserDefinedgrp-39rplc-61">
    <w:name w:val="cat-UserDefined grp-39 rplc-6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